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84"/>
        <w:gridCol w:w="5350"/>
        <w:gridCol w:w="5129"/>
      </w:tblGrid>
      <w:tr>
        <w:trPr>
          <w:trHeight w:hRule="atLeast" w:val="10944"/>
        </w:trPr>
        <w:tc>
          <w:tcPr>
            <w:tcW w:type="dxa" w:w="5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0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0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drawing>
                <wp:inline>
                  <wp:extent cx="2594428" cy="1725433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594428" cy="17254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0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Прокуратура Костромской области</w:t>
            </w:r>
          </w:p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г.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Кострома, ул</w:t>
            </w:r>
            <w:r>
              <w:rPr>
                <w:rFonts w:ascii="Times New Roman" w:hAnsi="Times New Roman"/>
                <w:sz w:val="26"/>
              </w:rPr>
              <w:t>. Скворцова</w:t>
            </w:r>
            <w:r>
              <w:rPr>
                <w:rFonts w:ascii="Times New Roman" w:hAnsi="Times New Roman"/>
                <w:sz w:val="26"/>
              </w:rPr>
              <w:t>, д.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z w:val="26"/>
              </w:rPr>
              <w:t xml:space="preserve">, </w:t>
            </w:r>
          </w:p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priem@44.mailop.ru</w:t>
            </w:r>
          </w:p>
          <w:p w14:paraId="0C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0E000000">
            <w:pPr>
              <w:widowControl w:val="1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</w:rPr>
            </w:pPr>
          </w:p>
          <w:p w14:paraId="0F000000">
            <w:pPr>
              <w:widowControl w:val="1"/>
              <w:spacing w:after="0" w:line="240" w:lineRule="auto"/>
              <w:ind/>
              <w:jc w:val="center"/>
              <w:rPr>
                <w:sz w:val="20"/>
              </w:rPr>
            </w:pPr>
          </w:p>
        </w:tc>
        <w:tc>
          <w:tcPr>
            <w:tcW w:type="dxa" w:w="5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spacing w:after="0" w:line="240" w:lineRule="exact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  <w:p w14:paraId="11000000">
            <w:pPr>
              <w:widowControl w:val="1"/>
              <w:spacing w:afterAutospacing="on" w:beforeAutospacing="on" w:line="240" w:lineRule="auto"/>
              <w:ind w:left="360"/>
              <w:rPr>
                <w:rFonts w:ascii="Times New Roman" w:hAnsi="Times New Roman"/>
                <w:sz w:val="28"/>
              </w:rPr>
            </w:pPr>
          </w:p>
          <w:p w14:paraId="12000000">
            <w:pPr>
              <w:widowControl w:val="1"/>
              <w:spacing w:afterAutospacing="on" w:beforeAutospacing="on" w:line="240" w:lineRule="auto"/>
              <w:ind w:left="36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44"/>
              </w:rPr>
            </w:pPr>
            <w:r>
              <w:rPr>
                <w:rFonts w:ascii="Times New Roman" w:hAnsi="Times New Roman"/>
                <w:sz w:val="44"/>
              </w:rPr>
              <w:t>П</w:t>
            </w:r>
            <w:r>
              <w:rPr>
                <w:rFonts w:ascii="Times New Roman" w:hAnsi="Times New Roman"/>
                <w:sz w:val="44"/>
              </w:rPr>
              <w:t xml:space="preserve">рокуратура </w:t>
            </w:r>
          </w:p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44"/>
              </w:rPr>
            </w:pPr>
            <w:r>
              <w:rPr>
                <w:rFonts w:ascii="Times New Roman" w:hAnsi="Times New Roman"/>
                <w:sz w:val="44"/>
              </w:rPr>
              <w:t>Костромской области</w:t>
            </w:r>
          </w:p>
          <w:p w14:paraId="1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drawing>
                <wp:inline>
                  <wp:extent cx="2019935" cy="1932304"/>
                  <wp:effectExtent b="0" l="0" r="0" t="0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4" name="Picture 4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019935" cy="19323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44"/>
              </w:rPr>
            </w:pPr>
            <w:r>
              <w:rPr>
                <w:rFonts w:ascii="Times New Roman" w:hAnsi="Times New Roman"/>
                <w:b w:val="1"/>
                <w:sz w:val="44"/>
              </w:rPr>
              <w:t>Защита персональных</w:t>
            </w:r>
          </w:p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44"/>
              </w:rPr>
            </w:pPr>
            <w:r>
              <w:rPr>
                <w:rFonts w:ascii="Times New Roman" w:hAnsi="Times New Roman"/>
                <w:b w:val="1"/>
                <w:sz w:val="44"/>
              </w:rPr>
              <w:t>данных</w:t>
            </w:r>
          </w:p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7000000">
            <w:pPr>
              <w:widowControl w:val="1"/>
              <w:spacing w:after="0" w:line="240" w:lineRule="auto"/>
              <w:ind w:firstLine="540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Кострома, 202</w:t>
            </w: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год</w:t>
            </w:r>
          </w:p>
        </w:tc>
      </w:tr>
      <w:tr>
        <w:trPr>
          <w:trHeight w:hRule="atLeast" w:val="10778"/>
        </w:trPr>
        <w:tc>
          <w:tcPr>
            <w:tcW w:type="dxa" w:w="52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  <w:p w14:paraId="29000000">
            <w:pPr>
              <w:widowControl w:val="1"/>
              <w:spacing w:after="0" w:line="240" w:lineRule="auto"/>
              <w:ind w:firstLine="63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Не предоставляй</w:t>
            </w:r>
            <w:r>
              <w:rPr>
                <w:rFonts w:ascii="Times New Roman" w:hAnsi="Times New Roman"/>
                <w:sz w:val="28"/>
              </w:rPr>
              <w:t xml:space="preserve"> паспорт или его фотокопии третьим лицам в стремлении заработать. Паспортные данные могут быть использованы для незаконного образования юридического лица или регистрации физического лица в качестве индивидуального предпринимателя, по счетам которых впоследствии осуществляются незаконные операции по переводу денег («обнал»). За предоставление паспорта для регистрации организаций и индивидуальных предпринимателей на подставное лицо (ст. 173.2 УК РФ) предусмотрена уголовная ответственность, в том числе в виде обязательных работ на срок от 180 до 240 часов либо исправительных работ на срок до 2-х лет.</w:t>
            </w:r>
          </w:p>
          <w:p w14:paraId="2A000000">
            <w:pPr>
              <w:widowControl w:val="1"/>
              <w:spacing w:after="0" w:line="240" w:lineRule="auto"/>
              <w:ind w:firstLine="63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Запрос фотографии с разворотом паспорта у лица как условие «трудоустройства» курьером на высокооплачиваемую работу через мессенджер должно служить сигналом</w:t>
            </w:r>
            <w:r>
              <w:rPr>
                <w:rFonts w:ascii="Times New Roman" w:hAnsi="Times New Roman"/>
                <w:b w:val="1"/>
                <w:sz w:val="28"/>
              </w:rPr>
              <w:t xml:space="preserve"> к немедленному прекращению общения с преступниками</w:t>
            </w:r>
            <w:r>
              <w:rPr>
                <w:rFonts w:ascii="Times New Roman" w:hAnsi="Times New Roman"/>
                <w:sz w:val="28"/>
              </w:rPr>
              <w:t>, выдающими себя за «работодателей». Получение денег от граждан и их дальнейший перевод с оставлением себе процентов от суммы в качестве зарплаты означает участие в совершении хищения путем обмана, т.е. мошенничества (ст. 159 УК РФ), за которое предусмотрена ответственность в</w:t>
            </w:r>
          </w:p>
        </w:tc>
        <w:tc>
          <w:tcPr>
            <w:tcW w:type="dxa" w:w="5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2"/>
              <w:widowControl w:val="1"/>
              <w:ind w:left="29"/>
              <w:rPr>
                <w:sz w:val="28"/>
              </w:rPr>
            </w:pPr>
          </w:p>
          <w:p w14:paraId="2C000000">
            <w:pPr>
              <w:pStyle w:val="Style_2"/>
              <w:widowControl w:val="1"/>
              <w:ind w:left="29"/>
              <w:rPr>
                <w:sz w:val="28"/>
              </w:rPr>
            </w:pPr>
            <w:r>
              <w:drawing>
                <wp:anchor allowOverlap="true" behindDoc="true" distB="0" distL="114300" distR="114300" distT="0" layoutInCell="true" locked="false" relativeHeight="251658240" simplePos="false">
                  <wp:simplePos x="0" y="0"/>
                  <wp:positionH relativeFrom="column">
                    <wp:posOffset>47540</wp:posOffset>
                  </wp:positionH>
                  <wp:positionV relativeFrom="paragraph">
                    <wp:posOffset>481918</wp:posOffset>
                  </wp:positionV>
                  <wp:extent cx="3080168" cy="3794077"/>
                  <wp:effectExtent b="0" l="0" r="0" t="0"/>
                  <wp:wrapNone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3080168" cy="3794077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зависимости от размера ущерба в виде лишения свободы на срок до 10-ти лет.</w:t>
            </w:r>
          </w:p>
          <w:p w14:paraId="2D000000">
            <w:pPr>
              <w:pStyle w:val="Style_2"/>
              <w:widowControl w:val="1"/>
              <w:ind w:firstLine="708" w:left="658"/>
              <w:rPr>
                <w:sz w:val="28"/>
              </w:rPr>
            </w:pPr>
          </w:p>
          <w:p w14:paraId="2E000000">
            <w:pPr>
              <w:pStyle w:val="Style_2"/>
              <w:widowControl w:val="1"/>
              <w:ind w:left="658"/>
              <w:rPr>
                <w:sz w:val="28"/>
              </w:rPr>
            </w:pPr>
          </w:p>
          <w:p w14:paraId="2F000000">
            <w:pPr>
              <w:pStyle w:val="Style_2"/>
              <w:rPr>
                <w:sz w:val="28"/>
              </w:rPr>
            </w:pPr>
          </w:p>
          <w:p w14:paraId="30000000">
            <w:pPr>
              <w:widowControl w:val="1"/>
              <w:tabs>
                <w:tab w:leader="none" w:pos="1547" w:val="left"/>
                <w:tab w:leader="none" w:pos="4105" w:val="left"/>
              </w:tabs>
              <w:ind/>
            </w:pPr>
            <w:r>
              <w:tab/>
            </w:r>
            <w:r>
              <w:tab/>
            </w:r>
          </w:p>
          <w:p w14:paraId="31000000"/>
          <w:p w14:paraId="32000000"/>
          <w:p w14:paraId="33000000"/>
          <w:p w14:paraId="34000000"/>
          <w:p w14:paraId="35000000"/>
          <w:p w14:paraId="36000000"/>
          <w:p w14:paraId="37000000"/>
          <w:p w14:paraId="38000000">
            <w:pPr>
              <w:widowControl w:val="1"/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8"/>
              </w:rPr>
            </w:pPr>
          </w:p>
          <w:p w14:paraId="39000000">
            <w:pPr>
              <w:widowControl w:val="1"/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Получение «клада» наркотических средств или психотропных веществ и их раскладка в «тайники» по инструкциям координатора - это </w:t>
            </w:r>
            <w:r>
              <w:rPr>
                <w:rFonts w:ascii="Times New Roman" w:hAnsi="Times New Roman"/>
                <w:sz w:val="28"/>
              </w:rPr>
              <w:t>соисполнительство</w:t>
            </w:r>
            <w:r>
              <w:rPr>
                <w:rFonts w:ascii="Times New Roman" w:hAnsi="Times New Roman"/>
                <w:sz w:val="28"/>
              </w:rPr>
              <w:t xml:space="preserve"> в сбыте (ст. 228.1 УК РФ), за которое закладчик может быть осужден в зависимости от размера партии к наказанию в виде лишения свободы вплоть до пожизненного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5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2"/>
              <w:widowControl w:val="1"/>
              <w:spacing w:after="0" w:before="0"/>
              <w:ind/>
              <w:rPr>
                <w:b w:val="1"/>
                <w:sz w:val="25"/>
              </w:rPr>
            </w:pPr>
          </w:p>
          <w:p w14:paraId="3B000000">
            <w:pPr>
              <w:pStyle w:val="Style_2"/>
              <w:widowControl w:val="1"/>
              <w:spacing w:after="0" w:before="0"/>
              <w:ind w:firstLine="284" w:left="63"/>
              <w:jc w:val="both"/>
              <w:rPr>
                <w:sz w:val="28"/>
              </w:rPr>
            </w:pPr>
            <w:r>
              <w:rPr>
                <w:b w:val="1"/>
                <w:sz w:val="28"/>
              </w:rPr>
              <w:t>Не передавай банковскую карту и (или) коды доступа к ней</w:t>
            </w:r>
            <w:r>
              <w:rPr>
                <w:sz w:val="28"/>
              </w:rPr>
              <w:t xml:space="preserve"> (ПИН-код, CVC-код, пароль доступа в личный кабинет) ни посторонним лицам, ни друзьям. Не предоставляй счет своей банковской карты для перевода по нему денег. Указанные действия в целях «заработка» - </w:t>
            </w:r>
            <w:r>
              <w:rPr>
                <w:sz w:val="28"/>
              </w:rPr>
              <w:t>дропперство</w:t>
            </w:r>
            <w:r>
              <w:rPr>
                <w:sz w:val="28"/>
              </w:rPr>
              <w:t xml:space="preserve"> преступны  </w:t>
            </w:r>
            <w:r>
              <w:rPr>
                <w:sz w:val="28"/>
              </w:rPr>
              <w:t xml:space="preserve">   (</w:t>
            </w:r>
            <w:r>
              <w:rPr>
                <w:sz w:val="28"/>
              </w:rPr>
              <w:t xml:space="preserve">ч. 3 и ч. 4 ст. 187 УК РФ, соответственно), поскольку электронные средства платежа активно используются мошенниками для вывода и обналичивания похищенных у граждан денег. За их совершение </w:t>
            </w:r>
            <w:r>
              <w:rPr>
                <w:sz w:val="28"/>
              </w:rPr>
              <w:t>дропперы</w:t>
            </w:r>
            <w:r>
              <w:rPr>
                <w:sz w:val="28"/>
              </w:rPr>
              <w:t xml:space="preserve"> несут уголовную ответственности, включая лишение свободы на срок до 3-х лет.  </w:t>
            </w:r>
          </w:p>
          <w:p w14:paraId="3C000000">
            <w:pPr>
              <w:pStyle w:val="Style_2"/>
              <w:widowControl w:val="1"/>
              <w:spacing w:after="0" w:before="0"/>
              <w:ind w:firstLine="284" w:left="63"/>
              <w:jc w:val="both"/>
              <w:rPr>
                <w:b w:val="1"/>
                <w:sz w:val="25"/>
              </w:rPr>
            </w:pPr>
          </w:p>
          <w:p w14:paraId="3D000000">
            <w:pPr>
              <w:pStyle w:val="Style_2"/>
              <w:widowControl w:val="1"/>
              <w:spacing w:after="0" w:before="0"/>
              <w:ind w:firstLine="284" w:left="63"/>
              <w:jc w:val="both"/>
              <w:rPr>
                <w:b w:val="1"/>
                <w:sz w:val="25"/>
              </w:rPr>
            </w:pPr>
          </w:p>
          <w:p w14:paraId="3E000000">
            <w:pPr>
              <w:pStyle w:val="Style_2"/>
              <w:widowControl w:val="1"/>
              <w:spacing w:after="0" w:before="0"/>
              <w:ind w:firstLine="284" w:left="63"/>
              <w:jc w:val="both"/>
              <w:rPr>
                <w:b w:val="1"/>
                <w:sz w:val="25"/>
              </w:rPr>
            </w:pPr>
            <w:bookmarkStart w:id="1" w:name="_GoBack"/>
            <w:bookmarkEnd w:id="1"/>
          </w:p>
          <w:p w14:paraId="3F000000">
            <w:pPr>
              <w:pStyle w:val="Style_2"/>
              <w:widowControl w:val="1"/>
              <w:spacing w:after="0" w:before="0"/>
              <w:ind w:firstLine="284" w:left="63"/>
              <w:jc w:val="both"/>
              <w:rPr>
                <w:b w:val="1"/>
                <w:sz w:val="25"/>
              </w:rPr>
            </w:pPr>
          </w:p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36"/>
              </w:rPr>
            </w:pPr>
            <w:r>
              <w:rPr>
                <w:rFonts w:ascii="Times New Roman" w:hAnsi="Times New Roman"/>
                <w:b w:val="1"/>
                <w:sz w:val="36"/>
              </w:rPr>
              <w:t>Береги персональные данные смолоду!</w:t>
            </w:r>
          </w:p>
        </w:tc>
      </w:tr>
    </w:tbl>
    <w:p w14:paraId="41000000"/>
    <w:sectPr>
      <w:pgSz w:h="11906" w:orient="landscape" w:w="16838"/>
      <w:pgMar w:bottom="284" w:footer="709" w:gutter="0" w:header="709" w:left="567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Strong"/>
    <w:basedOn w:val="Style_5"/>
    <w:link w:val="Style_4_ch"/>
    <w:rPr>
      <w:b w:val="1"/>
    </w:rPr>
  </w:style>
  <w:style w:styleId="Style_4_ch" w:type="character">
    <w:name w:val="Strong"/>
    <w:basedOn w:val="Style_5_ch"/>
    <w:link w:val="Style_4"/>
    <w:rPr>
      <w:b w:val="1"/>
    </w:rPr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Style7"/>
    <w:basedOn w:val="Style_3"/>
    <w:link w:val="Style_10_ch"/>
    <w:pPr>
      <w:widowControl w:val="0"/>
      <w:spacing w:after="0" w:line="227" w:lineRule="exact"/>
      <w:ind w:firstLine="504"/>
      <w:jc w:val="both"/>
    </w:pPr>
    <w:rPr>
      <w:rFonts w:ascii="Times New Roman" w:hAnsi="Times New Roman"/>
      <w:sz w:val="24"/>
    </w:rPr>
  </w:style>
  <w:style w:styleId="Style_10_ch" w:type="character">
    <w:name w:val="Style7"/>
    <w:basedOn w:val="Style_3_ch"/>
    <w:link w:val="Style_10"/>
    <w:rPr>
      <w:rFonts w:ascii="Times New Roman" w:hAnsi="Times New Roman"/>
      <w:sz w:val="24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3"/>
    <w:link w:val="Style_12_ch"/>
    <w:uiPriority w:val="9"/>
    <w:qFormat/>
    <w:pPr>
      <w:widowControl w:val="1"/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12_ch" w:type="character">
    <w:name w:val="heading 3"/>
    <w:basedOn w:val="Style_3_ch"/>
    <w:link w:val="Style_12"/>
    <w:rPr>
      <w:rFonts w:ascii="Times New Roman" w:hAnsi="Times New Roman"/>
      <w:b w:val="1"/>
      <w:sz w:val="27"/>
    </w:rPr>
  </w:style>
  <w:style w:styleId="Style_13" w:type="paragraph">
    <w:name w:val="ConsPlusNormal"/>
    <w:link w:val="Style_13_ch"/>
    <w:pPr>
      <w:widowControl w:val="0"/>
      <w:ind/>
    </w:pPr>
  </w:style>
  <w:style w:styleId="Style_13_ch" w:type="character">
    <w:name w:val="ConsPlusNormal"/>
    <w:link w:val="Style_13"/>
  </w:style>
  <w:style w:styleId="Style_14" w:type="paragraph">
    <w:name w:val="Font Style17"/>
    <w:basedOn w:val="Style_5"/>
    <w:link w:val="Style_14_ch"/>
    <w:rPr>
      <w:rFonts w:ascii="Times New Roman" w:hAnsi="Times New Roman"/>
      <w:sz w:val="18"/>
    </w:rPr>
  </w:style>
  <w:style w:styleId="Style_14_ch" w:type="character">
    <w:name w:val="Font Style17"/>
    <w:basedOn w:val="Style_5_ch"/>
    <w:link w:val="Style_14"/>
    <w:rPr>
      <w:rFonts w:ascii="Times New Roman" w:hAnsi="Times New Roman"/>
      <w:sz w:val="18"/>
    </w:rPr>
  </w:style>
  <w:style w:styleId="Style_15" w:type="paragraph">
    <w:name w:val="toc 3"/>
    <w:next w:val="Style_3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16" w:type="paragraph">
    <w:name w:val="footer"/>
    <w:basedOn w:val="Style_3"/>
    <w:link w:val="Style_1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6_ch" w:type="character">
    <w:name w:val="footer"/>
    <w:basedOn w:val="Style_3_ch"/>
    <w:link w:val="Style_16"/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basedOn w:val="Style_5"/>
    <w:link w:val="Style_19_ch"/>
    <w:rPr>
      <w:color w:val="0000FF"/>
      <w:u w:val="single"/>
    </w:rPr>
  </w:style>
  <w:style w:styleId="Style_19_ch" w:type="character">
    <w:name w:val="Hyperlink"/>
    <w:basedOn w:val="Style_5_ch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Style12"/>
    <w:basedOn w:val="Style_3"/>
    <w:link w:val="Style_25_ch"/>
    <w:pPr>
      <w:widowControl w:val="0"/>
      <w:spacing w:after="0" w:line="226" w:lineRule="exact"/>
      <w:ind w:firstLine="384"/>
      <w:jc w:val="both"/>
    </w:pPr>
    <w:rPr>
      <w:rFonts w:ascii="Times New Roman" w:hAnsi="Times New Roman"/>
      <w:sz w:val="24"/>
    </w:rPr>
  </w:style>
  <w:style w:styleId="Style_25_ch" w:type="character">
    <w:name w:val="Style12"/>
    <w:basedOn w:val="Style_3_ch"/>
    <w:link w:val="Style_25"/>
    <w:rPr>
      <w:rFonts w:ascii="Times New Roman" w:hAnsi="Times New Roman"/>
      <w:sz w:val="24"/>
    </w:rPr>
  </w:style>
  <w:style w:styleId="Style_26" w:type="paragraph">
    <w:name w:val="header"/>
    <w:basedOn w:val="Style_3"/>
    <w:link w:val="Style_2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6_ch" w:type="character">
    <w:name w:val="header"/>
    <w:basedOn w:val="Style_3_ch"/>
    <w:link w:val="Style_26"/>
  </w:style>
  <w:style w:styleId="Style_2" w:type="paragraph">
    <w:name w:val="Normal (Web)"/>
    <w:basedOn w:val="Style_3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Balloon Text"/>
    <w:basedOn w:val="Style_3"/>
    <w:link w:val="Style_2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9_ch" w:type="character">
    <w:name w:val="Balloon Text"/>
    <w:basedOn w:val="Style_3_ch"/>
    <w:link w:val="Style_29"/>
    <w:rPr>
      <w:rFonts w:ascii="Tahoma" w:hAnsi="Tahoma"/>
      <w:sz w:val="16"/>
    </w:rPr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1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media/3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2025-10-01T08:39:00Z</dcterms:created>
  <dcterms:modified xsi:type="dcterms:W3CDTF">2026-03-31T13:02:21Z</dcterms:modified>
</cp:coreProperties>
</file>